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2010/41 vom 17. Juli 2012</w:t>
      </w:r>
    </w:p>
    <w:p>
      <w:r>
        <w:t>Sg Versicherungsgericht, 2012-07-17, DE</w:t>
      </w:r>
    </w:p>
    <w:p>
      <w:r>
        <w:rPr>
          <w:b/>
        </w:rPr>
        <w:t xml:space="preserve">Quelle: </w:t>
      </w:r>
      <w:r>
        <w:t>https://mcp.opencaselaw.ch/entscheid/sg_publikationen_IV 2010_41</w:t>
      </w:r>
    </w:p>
    <w:p>
      <w:r>
        <w:t>FR: SG_VERSICHERUNGSGERICHT IV 2010/41 du 17 juillet 2012</w:t>
      </w:r>
    </w:p>
    <w:p>
      <w:r>
        <w:t>IT: SG_VERSICHERUNGSGERICHT IV 2010/41 del 17 luglio 2012</w:t>
      </w:r>
    </w:p>
    <w:p>
      <w:pPr>
        <w:pStyle w:val="Heading2"/>
      </w:pPr>
      <w:r>
        <w:t>Regeste</w:t>
      </w:r>
    </w:p>
    <w:p>
      <w:r>
        <w:t>28 Abs. 2 IVG, Art. 16 ATSG: Würdigung eines BEFAS-Abklärungsberichts und verschiedener Arztberichte. Invaliditätsbemessung durch Einkommensvergleich. Prozentvergleich (Entscheid des Versicherungsgericht des Kantons St. Gallen vom 17. Juli 2012, IV 2010/41).</w:t>
      </w:r>
    </w:p>
    <w:p>
      <w:pPr>
        <w:pStyle w:val="Heading2"/>
      </w:pPr>
      <w:r>
        <w:t>Erwägungen</w:t>
      </w:r>
    </w:p>
    <w:p>
      <w:r>
        <w:rPr>
          <w:b/>
        </w:rPr>
        <w:t>E. 1</w:t>
      </w:r>
    </w:p>
    <w:p>
      <w:r>
        <w:t>1.1    Streitig und zu prüfen ist die Frage, ob der Beschwerdeführer einen Anspruch auf Rentenleistungen der Invalidenversicherung hat.</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Da sich die Definition der Invalidität und die damit zusammenhängenden Begriffe mit diesen Revisionen nicht geändert haben, werden nachfolgend die seit dem 1. Januar 2008 gültigen Bestimmungen wiedergegeben. 2.2    Invalidität im Sinne von Art. 8 ATSG ist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Anspruch auf eine ganze Invalidenrente besteht gemäss Art. 28 Abs. 2 IVG (in der ab der 5. IV-Revision gültigen Fassung), wenn die versicherte Person mindestens zu 70%, derjenige auf eine Dreiviertelsrente, wenn sie wenigstens zu 60 % invalid ist. Liegt ein Invaliditätsgrad von mindestens 50 % vor, wird eine halbe Rente und bei einem Invaliditätsgrad von mindestens 40 % eine Viertelsrente zugesprochen. Eine Invalidität von weniger als 40 % wird von der Invalidenversicherung rentenmässig nicht entschädigt. 2.3    Um den Grad der Arbeitsunfähigkeit, der Erwerbsunfähigkeit und der Invalidität bemessen zu können,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mit Hinweisen).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Zunächst ist die medizinische Aktenlage zu würdigen. Dr. I.___ vom RAD begründete die Einschätzung einer vollen Arbeitsfähigkeit in der internen Stellungnahme vom 24. Mai 2007 folgendermassen: "Seit seinem Herzinfarkt im Februar 2005 war der Versicherte mehrheitlich arbeitsunfähig. Er leidet an der Lunge und am Herzen. Die schwere angestammte Tätigkeit ist dem Versicherten nicht mehr zumutbar. Dem Versicherten ist in einem adaptierten Arbeitsbereich auch in Überein­stimmung mit dem Hausarzt eine uneingeschränkte Arbeitsfähigkeit zuzumuten". Die arbeitsmedizinischen Vorgaben für eine behinderungsgerechte Tätigkeit wurden durch Dr. I.___ wie folgt festgelegt: Es sollte sich ständig oder überwiegend um eine leichte körperliche Arbeit handeln, mit maximalen Limiten für Heben/Tragen/Halten/ Ziehen/Stossen/Schieben von Lasten körpernah unter 10 kg und körperfern unter 5 kg, mit nur gelegentlich zumutbaren mittelschweren Arbeitsverrichtungen einhergehend mit Heben/Tragen/Halten/Ziehen/Stossen/Schieben von Lasten körpernah bis 10-25 kg und körperfern unter 7.5 kg; zumutbar sei kurzzeitiges Einnehmen von Zwangshaltungen wie z.B. Bücken/Kauern/Knien/Kriechen/Hocken/Rumpf vorbeugen/Rumpfrotation wie auch Ersteigen von Leitern oder Überkopfarbeit; eine geeignete Tätigkeit sollte ausgeübt werden können vornehmlich im Wechselrhythmus (gegebenenfalls mit einem schnell höhenverstellbaren Arbeitstisch und einer Stehhilfe) oder überwiegend sitzend; ver­mieden werden sollten inhalatorische Belastungen (Stäube, Rauch, Gase, Dämpfe, Aerosole mit irritativer/toxischer/allergisierender Wirkung auf die Atemwege), zu be­achten sei auch eine nicht fordernde Arbeitsumgebung (Vermeidung von Exposition gegenüber Hitze, Kälte, Nässe, Zugluft; IV-act. 13-2). Im Schlussbericht der BEFAS Appisberg vom 23. Oktober 2007 wurde die Arbeitsfähigkeitsschätzung für be­hinderungsadaptierte Tätigkeiten von 80 % folgendermassen begründet: "Tatsächlich setzte A.___ sich in den Werkstätten die ganzen 7½ Stunden gut ein und erzielte dabei Tagesleistungen von 70-80 %" (IV-act. 28-7). Bei in Frage kommenden behinderungsadaptierten Tätigkeiten kann aktuell, gestützt auf die konkreten Ab­klärungsresultate, eine 80 %ige Leistungsfähigkeit bestätigt werden. Die Leistungs­einbusse ergibt sich aus der im Tages- und Wochenverlauf beobachteten, für uns aufgrund der Atemprobleme nachvollziehbaren stärkeren Ermüdung bei gleichzeitig ein­geschränkter Stressbelastbarkeit infolge seiner Herzbeschwerden. Bei einer all­mählichen Gewöhnung an die arbeitsspezifischen Belastungen bei behinderungs­gerechter Tätigkeit scheint, bei im weiteren einigermassen stabilem gesundheitlichen Verlauf, auch eine uneingeschränkte Leistungsfähigkeit erreichbar, insbesondere wenn es gelingt, A.___ bezüglich seiner Atemprobleme erfolgreich zu behandeln" (IV-act. 28-10). Der Schlussbericht BEFAS beruht auf eigenständigen Abklärungen und ist damit für die streitigen Belange massgebend. Es wurden die Vorakten verwertet und die vom Beschwerdeführer geklagten Beschwerden berücksichtigt. Der Schlussbericht BEFAS leuchtet in der Darlegung der medizinischen und beruflichen Zusammenhänge und in der Beurteilung der medizinischen Situation ein. Vor diesem Hintergrund ver­mögen auch die darin enthaltenen Schlussfolgerungen, namentlich die Beurteilung der Arbeitsfähigkeit in einer adaptierten Tätigkeit, zu überzeugen. Der Schlussbericht erfüllt mithin alle praxisgemässen Kriterien für beweiskräftige Gutachten (vgl. BGE 125 V 352 E. 3a), so dass grundsätzlich darauf abzustellen ist. Dr. I.___ bestätigte denn auch am 23. November 2007 die Einschätzung der BEFAS der 80 %igen Arbeitsfähigkeit folgendermassen: "Gestützt auf meine erste Beurteilung, die neu eingegangenen ärztlichen Berichte und die BEFAS kann ich gerne eine 80%ige Arbeitsfähigkeit be­stätigen" (IV-act. 33-1). Die Arbeitsfähigkeitsschätzung von 80 % erscheint umso realistischer, als dem Beschwerdeführer im Schlussbericht BEFAS bei künftig weiterem einigermassen stabilen gesundheitlichen Verlauf sogar eine uneingeschränkte Leistungsfähigkeit attestiert wurde (IV-act. 28-10). Dem Bericht von Dr. med. F.___, Facharzt für Innere Medizin FMH / speziell Kardiologie, vom 15. Dezember 2008 ist zu entnehmen, dass der Beschwerdeführer selber, und nicht - wie der Beschwerde­führer geltend macht - der Mediziner, angegeben habe, unter allgemeiner Mündigkeit zu leiden und sich nicht leistungsfähig zu fühlen (IV-act. 59a-10). Dieser subjektiven Angabe des Beschwerdeführers kommt somit nur beschränkter Beweiswert zu. Der Hausarzt Dr. C.___ machte in seinem Bericht vom 13. Juli 2009 geltend, dass die bisherigen Massnahmen zur Behebung oder Verringerung der Symptome bei diesem chronischen eosinophylen Prozess aktuell zu keiner substantiellen Verbesserung geführt hätten. Diesbezüglich führte Dr. H.___ vom RAD in seiner internen Stellung­nahme vom 21. Oktober 2009 jedoch aus, dass Dr. C.___ in seinem Arztbericht vom 13. Juli 2009 im Wesentlichen die gleichen Diagnosen, Beschwerden und Befunde erwähnt hätte, die bereits bei der Beschreibung der medizinischen Situation in Appis­berg festgehalten worden seien. Man könne somit davon ausgehen, dass die Schluss­folgerungen der BEFAS Appisberg vom Herbst 2007, was die Arbeitsfähigkeit in einer adaptierten Tätigkeit im Umfang von 80 % betreffe, weiterhin zuträfen (IV-act. 61-2). Schliesslich ist darauf hinzuweisen, dass behandelnde Ärzte erfahrungsgemäss die Arbeitsfähigkeit ihrer Patienten pessimistischer einschätzen als unabhängige medi­zinische Sachverständige. Dies beruht unter anderem auf dem Therapieverhältnis, das den Arzt dazu neigen lässt, die Beschwerdeschilderungen ihrer Patienten zu hoch zu gewichten und deren subjektive Selbsteinschätzung zu übernehmen (vgl. Entscheid des Versicherungsgerichts des Kantons St. Gallen IV 2009/106 vom 7. Oktober 2010 E. 5.3). Mit Blick auf die Verschiedenheit von Behandlungs- und Begutachtungsauftrag kann daher im Streitfall regelmässig nicht auf die Sicht des behandelnden (Fach-)Arztes abgestellt werden (vgl. statt vieler: Urteil des Bundes­gerichts I 701/05 vom 5. Januar 2007, E. 2 mit zahlreichen Hinweisen). Jedenfalls ist der Arztbericht von Dr. C.___ nicht geeignet, Zweifel an der Einschätzung der Ärzte des RAD sowie der Sachverständigen der BEFAS aufkommen zu lassen, die von einer 80 %igen Arbeitsfähigkeit in einer optimal leidensadaptierten Tätigkeit ausgehen. Darauf ist abzustellen.</w:t>
      </w:r>
    </w:p>
    <w:p>
      <w:r>
        <w:rPr>
          <w:b/>
        </w:rPr>
        <w:t>E. 4</w:t>
      </w:r>
    </w:p>
    <w:p>
      <w:r>
        <w:t>4.1    Für die Bemessung der Invalidität von erwerbstätigen Versicherten ist gemäss Art. 28a Abs. 1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4.2    Für die Berechnung des Valideneinkommens hat die IV-Stelle auf den Durch­schnittswert der im Auszug aus dem individuellen AHV-Konto (IK-Auszug) für die Jahre 2000-2004 angegebenen Einkommen des Beschwerdeführers als selbständiger Platten­leger von Fr. 52'625.-- abgestellt und für das Jahr 2006 ein an die Nominallohnerhöhung angepasstes Einkommen von Fr. 53'789.-- errechnet (IV-act. 64). Dieses Validen­einkommen wurde für die Verfügung vom 4. Januar 2010 (IV-act. 68) übernommen und vom Beschwerdeführer (act. G 1) nicht beanstandet. Mit dem Valideneinkommen soll dasjenige Einkommen bezeichnet werden, welches der Versicherte als hypothetisch Gesunder unter Berücksichtigung seiner Validenkarriere erzielen könnte. Da vorliegend davon auszugehen ist, dass der Beschwerdeführer als Gesunder weiterhin im gleichen Umfang in seiner bisherigen Tätigkeit weitergearbeitet hätte, bilden das zuletzt vor Eintritt des Gesundheitsschadens erzielte Einkommen einen wichtigen Anhaltspunkt für die Bestimmung des Valideneinkommens. Gemäss Akten traten die Herzprobleme des Beschwerdeführers im Jahr 2005 erstmals auf und wurden zusammen mit weiteren gesundheitlichen Beeinträchtigungen im Jahr 2006 so stark, dass er sich nicht mehr in der Lage fühlte, seine Tätigkeit als selbständiger Plattenleger in Vollzeit auszuüben (IV-act. 11-5). Vor diesem Hintergrund ist es gerechtfertigt, dem Validenlohn die Einkünfte im Jahr 2004 zugrunde zu legen. Da der Beschwerdeführer gemäss IK-Auszug jährlich jeweils unterschiedlich hohe Einkommen gegenüber der Sozialversicherungsanstalt des Kantons St. Gallen deklariert bzw. abgerechnet hat (IV-act. 8-1 f.), erscheint es zudem vertretbar, auf den Durchschnitt der AHV-pflichtigen Ein­künfte der Jahre 2000 bis 2004 abzustellen, wie es die Beschwerdegegnerin getan hat. Es ist demgemäss von einem Valideneinkommen von Fr. 53'789.-- auszugehen. 4.3    Für die Bestimmung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 Das ist auch hier am Platz. Der Beschwerdeführer ist zwar darauf angewiesen, dass eine Tätigkeit körperlich überwiegend leicht sowie wechselbelastend ist, keine inhalatorische Belastung erfordert sowie nicht in einer Arbeitsumgebung unter Exposition von Hitze, Kälte, Nässe und Zugluft stattfindet. Diese Voraussetzungen setzen ihm aber nicht so enge Grenzen, dass selbst auf einem ausgeglichenen Arbeitsmarkt nur noch realitätsfremde Einsatz­möglichkeiten (vgl. Entscheid des Eidgenössischen Versicherungsgerichts i/S S. vom 5. September 2006, I 447/06; ZAK 1991 S. 320 f. E. 3b) für ihn offen stünden. 4.4    Das durchschnittliche Bruttoeinkommen von Männer für einfache und repetitive Tätigkeiten (Anforderungsniveau 4) im privaten Sektor lag im Jahr 2006 bei Fr. 59'197.-- (vgl. Anhang 2 der Textausgabe Invalidenversicherung, Gesetze und Verordnungen mit Querverweisen und Sachregister, Ausgabe 2010, S. 210, basierend auf der Schwei­zerischen Lohnstrukturerhebung LSE des Bundesamtes für Statistik). 4.5    Der Beschwerdeführer erzielte somit vor Eintritt der Gesundheitsschädigung einen unterdurchschnittlichen Verdienst. Da keine Anhaltspunkte dafür bestehen, dass er sich aus freien Stücken mit einem bescheidenen Einkommensniveau hätte begnügen wollen, kann für das Valideneinkommen und für den Ausgangspunkt zur Bestimmung des Invalideneinkommens vom selben Wert ausgegangen werden.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4.6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Dabei ist zu beachten, dass allfällige bereits bei der Paralle­lisierung der Vergleichseinkommen beachtete invaliditätsfremde Faktoren im Rahmen des sogenannten Leidensabzuges nicht nochmals berücksichtigt werden dürfen (vgl. zum Ganzen: BGE 134 V 322 E. 5.2 und BGE 126 V 75). - Die medizinisch bedingten Einschränkungen des Beschwerdeführers sind bei der Festsetzung der Arbeitsfähigkeit bereits berücksichtigt worden. Alter, Migrationshintergrund und Ausbildungsstand bieten ebenfalls nicht Grund für einen Abzug, weil sie sich auf das Validen- wie auf das Invalideneinkommen gleichermassen auswirken. Es ist aber damit zu rechnen, dass der Beschwerdeführer, der als Hilfsarbeiter nur noch für eher leichte Tätigkeiten, vorzugs­weise wechselbelastend, zu 80 % arbeitsfähig ist, im Vergleich zu gesunden Mit­bewerbern um eine entsprechende Stelle auf dem Arbeitsmarkt ein geringeres Einkommen erzielen wird. Tabellenlöhne werden bei gesunden Arbeitnehmern erhoben. Insgesamt erscheint ein Tabellenlohnabzug von 10 % angemessen. 4.7    Der Invaliditätsgrad stellt sich demnach auf maximal 28 % (100 % - 0.80 x 90 %), was nicht zu einer Rente berechtigt. Unter Berücksichtigung der Parallelisierungs­aussparung von 5 % gemäss BGE 135 V 297 ergäbe sich sogar ein noch tieferer Invaliditätsgrad (Fr. 53'789.-- Valideneinkommen, Fr. 40'857.30 Invalideneinkommen [statt 9.14 nur 4.14 % Minderverdienst von Fr. 59'197.-- ausgehend]; Invaliditätsgrad rund 24 %). Die Beschwerdegegnerin hat daher zu Recht dem Beschwerdeführer keine Rente zugesprochen.</w:t>
      </w:r>
    </w:p>
    <w:p>
      <w:r>
        <w:rPr>
          <w:b/>
        </w:rPr>
        <w:t>E. 5</w:t>
      </w:r>
    </w:p>
    <w:p>
      <w:r>
        <w:t>5.1    Demnach ist die Beschwerde abzuweisen. 5.2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Eine Entscheidgebühr von Fr. 600.-- erscheint vorliegend angemessen. Nach Art. 95 Abs. 1 VRP hat in Streitigkeiten jener Beteiligte die Kosten zu tragen, dessen Begehren ganz oder teilweise abgewiesen werden. Angesichts des vollen Unterliegens des Be­schwerdeführers rechtfertigt es sich, ihm die Gerichtskosten unter Verrechnung mit dem von ihm in selbiger Höhe geleisteten Kostenvorschuss gesamthaft aufzuerlegen. Demgemäss hat das Versicherungsgericht im Zirkulationsverfahren gemäss Art. 39 VRP entschieden: 1.       Die Beschwerde wird abgewiesen. 2.       Der Beschwerdeführer hat die Gerichtskosten von Fr. 600.-- unter Anrechnung des von ihm geleisteten Kostenvorschusses in gleicher Höhe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